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Default ContentType="application/vnd.openxmlformats-officedocument.obfuscatedFont" Extension="odtt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r>
        <w:drawing>
          <wp:anchor distT="0" distB="0" distL="0" distR="0" simplePos="0" allowOverlap="1" behindDoc="1" locked="0" layoutInCell="1" relativeHeight="72497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302" cy="7249783"/>
            <wp:effectExtent t="0" r="0" b="0" l="0"/>
            <wp:wrapNone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02" cy="7249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w="11918.34" w:h="6339.0599999999995" w:x="0" w:y="10506.51" w:hAnchor="page" w:vAnchor="page"/>
        <w:shd w:color="151F32" w:val="solid"/>
      </w:pPr>
    </w:p>
    <w:p>
      <w:pPr>
        <w:framePr w:w="6208.65" w:h="13636.35" w:x="567" w:y="1474.2" w:hAnchor="page" w:vAnchor="page"/>
        <w:shd w:color="FFFFFF" w:val="solid"/>
      </w:pPr>
    </w:p>
    <w:p>
      <w:pPr>
        <w:pStyle w:val="Title"/>
        <w:framePr w:w="5556.6" w:h="2880.36" w:x="924.2099999999999" w:y="2268" w:hAnchor="page" w:vAnchor="page"/>
      </w:pPr>
      <w:r>
        <w:t xml:space="preserve">Professeur Tournesol à la Citade...</w:t>
      </w:r>
    </w:p>
    <w:p>
      <w:pPr>
        <w:framePr w:w="5556.6" w:h="2880.36" w:x="924.2099999999999" w:y="6066.9" w:hAnchor="page" w:vAnchor="page"/>
      </w:pPr>
      <w:r>
        <w:rPr>
          <w:b/>
          <w:bCs/>
          <w:sz w:val="28"/>
          <w:szCs w:val="28"/>
        </w:rPr>
        <w:t xml:space="preserve">Étude de faisabilité</w:t>
      </w:r>
      <w:r>
        <w:rPr>
          <w:b/>
          <w:bCs/>
          <w:sz w:val="28"/>
          <w:szCs w:val="28"/>
        </w:rPr>
        <w:br/>
        <w:t xml:space="preserve">Jérémy Corman</w:t>
      </w:r>
    </w:p>
    <w:p>
      <w:pPr>
        <w:framePr w:w="5556.6" w:h="759.7800000000001" w:x="924.2099999999999" w:y="13324.5" w:hAnchor="page" w:vAnchor="page"/>
      </w:pPr>
      <w:r>
        <w:rPr>
          <w:b/>
          <w:bCs/>
          <w:sz w:val="28"/>
          <w:szCs w:val="28"/>
        </w:rPr>
        <w:t xml:space="preserve">30/04/2024</w:t>
      </w:r>
    </w:p>
    <w:p>
      <w:pPr>
        <w:framePr w:w="5556.6" w:h="759.7800000000001" w:x="924.2099999999999" w:y="14231.7" w:hAnchor="page" w:vAnchor="page"/>
      </w:pPr>
      <w:r>
        <w:rPr>
          <w:b/>
          <w:bCs/>
          <w:sz w:val="28"/>
          <w:szCs w:val="28"/>
        </w:rPr>
        <w:t xml:space="preserve">Marketing Makers Plunch SPRL</w:t>
      </w:r>
    </w:p>
    <w:p>
      <w:r>
        <w:drawing>
          <wp:anchor distT="0" distB="0" distL="0" distR="0" simplePos="0" allowOverlap="1" behindDoc="0" locked="0" layoutInCell="1" relativeHeight="611038">
            <wp:simplePos x="0" y="0"/>
            <wp:positionH relativeFrom="page">
              <wp:posOffset>5540400</wp:posOffset>
            </wp:positionH>
            <wp:positionV relativeFrom="page">
              <wp:posOffset>9234000</wp:posOffset>
            </wp:positionV>
            <wp:extent cx="1480868" cy="611038"/>
            <wp:effectExtent t="0" r="0" b="0" l="0"/>
            <wp:wrapNone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68" cy="61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 w:orient="portrait"/>
          <w:pgMar w:top="1440" w:right="1440" w:bottom="1440" w:left="1440" w:header="708" w:footer="708" w:gutter="0"/>
          <w:pgNumType/>
          <w:docGrid w:linePitch="360"/>
        </w:sectPr>
      </w:pPr>
    </w:p>
    <w:p>
      <w:pPr>
        <w:pStyle w:val="Heading1"/>
      </w:pPr>
      <w:r>
        <w:t xml:space="preserve">Étude de faisabilité</w:t>
      </w:r>
    </w:p>
    <w:tbl>
      <w:tblPr>
        <w:tblW w:type="pct" w:w="100%"/>
        <w:tblBorders>
          <w:top w:val="single" w:color="FFFFFF" w:sz="1"/>
          <w:left w:val="single" w:color="FFFFFF" w:sz="1"/>
          <w:bottom w:val="single" w:color="FFFFFF" w:sz="1"/>
          <w:right w:val="single" w:color="FFFFFF" w:sz="1"/>
          <w:insideH w:val="single" w:color="FFFFFF" w:sz="1"/>
          <w:insideV w:val="single" w:color="FFFFFF" w:sz="1"/>
        </w:tblBorders>
        <w:tblCellMar>
          <w:top w:type="dxa" w:w="72"/>
          <w:left w:type="dxa" w:w="72"/>
          <w:bottom w:type="dxa" w:w="72"/>
          <w:right w:type="dxa" w:w="72"/>
        </w:tblCellMar>
      </w:tblPr>
      <w:tblGrid>
        <w:gridCol w:w="100"/>
        <w:gridCol w:w="100"/>
        <w:gridCol w:w="100"/>
        <w:gridCol w:w="100"/>
        <w:gridCol w:w="100"/>
      </w:tblGrid>
      <w:tr>
        <w:tc>
          <w:tcPr>
            <w:shd w:color="F2F2F2" w:val="solid"/>
          </w:tcPr>
          <w:p>
            <w:r>
              <w:t xml:space="preserve"> </w:t>
            </w:r>
          </w:p>
        </w:tc>
        <w:tc>
          <w:tcPr>
            <w:shd w:color="F2F2F2" w:val="solid"/>
          </w:tcPr>
          <w:p>
            <w:r>
              <w:t xml:space="preserve">Commune</w:t>
            </w:r>
          </w:p>
        </w:tc>
        <w:tc>
          <w:tcPr>
            <w:shd w:color="F2F2F2" w:val="solid"/>
          </w:tcPr>
          <w:p>
            <w:r>
              <w:t xml:space="preserve">Division</w:t>
            </w:r>
          </w:p>
        </w:tc>
        <w:tc>
          <w:tcPr>
            <w:shd w:color="F2F2F2" w:val="solid"/>
          </w:tcPr>
          <w:p>
            <w:r>
              <w:t xml:space="preserve">Section</w:t>
            </w:r>
          </w:p>
        </w:tc>
        <w:tc>
          <w:tcPr>
            <w:shd w:color="F2F2F2" w:val="solid"/>
          </w:tcPr>
          <w:p>
            <w:r>
              <w:t xml:space="preserve">N° et exposant</w:t>
            </w:r>
          </w:p>
        </w:tc>
      </w:tr>
      <w:tr>
        <w:tc>
          <w:tcPr>
            <w:tcW w:type="pct" w:w="20%"/>
            <w:shd w:color="F2F2F2" w:val="solid"/>
          </w:tcPr>
          <w:p>
            <w:r>
              <w:t xml:space="preserve">Parcelle 1</w:t>
            </w:r>
          </w:p>
        </w:tc>
        <w:tc>
          <w:tcPr>
            <w:tcW w:type="pct" w:w="20%"/>
            <w:shd w:color="F2F2F2" w:val="solid"/>
          </w:tcPr>
          <w:p>
            <w:r>
              <w:t xml:space="preserve">Liège</w:t>
            </w:r>
          </w:p>
        </w:tc>
        <w:tc>
          <w:tcPr>
            <w:tcW w:type="pct" w:w="20%"/>
            <w:shd w:color="F2F2F2" w:val="solid"/>
          </w:tcPr>
          <w:p>
            <w:r>
              <w:t xml:space="preserve">6</w:t>
            </w:r>
          </w:p>
        </w:tc>
        <w:tc>
          <w:tcPr>
            <w:tcW w:type="pct" w:w="20%"/>
            <w:shd w:color="F2F2F2" w:val="solid"/>
          </w:tcPr>
          <w:p>
            <w:r>
              <w:t xml:space="preserve">C</w:t>
            </w:r>
          </w:p>
        </w:tc>
        <w:tc>
          <w:tcPr>
            <w:tcW w:type="pct" w:w="20%"/>
            <w:shd w:color="F2F2F2" w:val="solid"/>
          </w:tcPr>
          <w:p>
            <w:r>
              <w:t xml:space="preserve">0465K000</w:t>
            </w:r>
          </w:p>
        </w:tc>
      </w:tr>
    </w:tbl>
    <w:p/>
    <w:p>
      <w:pPr>
        <w:pStyle w:val="Heading2"/>
      </w:pPr>
      <w:r>
        <w:t xml:space="preserve">Schéma de développement territorial</w:t>
      </w:r>
    </w:p>
    <w:p>
      <w:pPr>
        <w:pStyle w:val="ListParagraph"/>
        <w:numPr>
          <w:ilvl w:val="0"/>
          <w:numId w:val="2"/>
        </w:numPr>
      </w:pPr>
      <w:r>
        <w:t xml:space="preserve">62063-SDT-0001-01 (arrêté du Gouvernement wallon du 16/05/2019, publié au Moniteur belge le 12/12/2019)</w:t>
      </w:r>
      <w:r>
        <w:t xml:space="preserve"> </w:t>
      </w:r>
      <w:hyperlink w:history="1" r:id="rId84jskh8kdqndq89yirdgg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84jskh8kdqndq89yirdgg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84jskh8kdqndq89yirdgg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Heading2"/>
      </w:pPr>
      <w:r>
        <w:t xml:space="preserve">Plan de secteur</w:t>
      </w:r>
    </w:p>
    <w:p>
      <w:pPr>
        <w:pStyle w:val="ListParagraph"/>
        <w:numPr>
          <w:ilvl w:val="0"/>
          <w:numId w:val="2"/>
        </w:numPr>
      </w:pPr>
      <w:r>
        <w:t xml:space="preserve">Habitat</w:t>
      </w:r>
      <w:r>
        <w:t xml:space="preserve"> </w:t>
      </w:r>
      <w:hyperlink w:history="1" r:id="rIdbfjzbkkes0wuosbnephym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bfjzbkkes0wuosbnephym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bfjzbkkes0wuosbnephym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Heading2"/>
      </w:pPr>
      <w:r>
        <w:t xml:space="preserve">Carte d'affectation des sols</w:t>
      </w:r>
    </w:p>
    <w:p>
      <w:pPr>
        <w:pStyle w:val="ListParagraph"/>
        <w:numPr>
          <w:ilvl w:val="0"/>
          <w:numId w:val="2"/>
        </w:numPr>
      </w:pPr>
      <w:r>
        <w:t xml:space="preserve">Revêtement artificiel au sol</w:t>
      </w:r>
      <w:r>
        <w:t xml:space="preserve"> </w:t>
      </w:r>
    </w:p>
    <w:p>
      <w:pPr>
        <w:pStyle w:val="ListParagraph"/>
        <w:numPr>
          <w:ilvl w:val="0"/>
          <w:numId w:val="2"/>
        </w:numPr>
      </w:pPr>
      <w:r>
        <w:t xml:space="preserve">Couvert herbacé toute l'année</w:t>
      </w:r>
      <w:r>
        <w:t xml:space="preserve"> </w:t>
      </w:r>
    </w:p>
    <w:p>
      <w:pPr>
        <w:pStyle w:val="ListParagraph"/>
        <w:numPr>
          <w:ilvl w:val="0"/>
          <w:numId w:val="2"/>
        </w:numPr>
      </w:pPr>
      <w:r>
        <w:t xml:space="preserve">Constructions artificielles hors sol</w:t>
      </w:r>
      <w:r>
        <w:t xml:space="preserve"> </w:t>
      </w:r>
    </w:p>
    <w:p>
      <w:pPr>
        <w:pStyle w:val="Heading2"/>
      </w:pPr>
      <w:r>
        <w:t xml:space="preserve">Guide communal d'urbanisme</w:t>
      </w:r>
    </w:p>
    <w:p>
      <w:pPr>
        <w:pStyle w:val="ListParagraph"/>
        <w:numPr>
          <w:ilvl w:val="0"/>
          <w:numId w:val="2"/>
        </w:numPr>
      </w:pPr>
      <w:r>
        <w:t xml:space="preserve">Règlement relatif à la protection des arbres et des espaces verts (62063-RCB-0002-01)</w:t>
      </w:r>
      <w:r>
        <w:t xml:space="preserve"> </w:t>
      </w:r>
      <w:hyperlink w:history="1" r:id="rIdczbc2skd5g5l9g_olqsl4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czbc2skd5g5l9g_olqsl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czbc2skd5g5l9g_olqsl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Heading2"/>
      </w:pPr>
      <w:r>
        <w:t xml:space="preserve">Guide régional d'urbanisme</w:t>
      </w:r>
    </w:p>
    <w:p>
      <w:pPr>
        <w:pStyle w:val="ListParagraph"/>
        <w:numPr>
          <w:ilvl w:val="0"/>
          <w:numId w:val="2"/>
        </w:numPr>
      </w:pPr>
      <w:r>
        <w:t xml:space="preserve">GRU - Accès aux personnes à mobilité réduite : 62063-RMR-0001-01 Liège, arrêté du 19/12/1984 modifié les 25/02/1999, 20/05/1999 et 25/01/2001</w:t>
      </w:r>
      <w:r>
        <w:t xml:space="preserve"> </w:t>
      </w:r>
      <w:hyperlink w:history="1" r:id="rIdlwwozeiu45uf_2u2k_nuo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lwwozeiu45uf_2u2k_nuo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lwwozeiu45uf_2u2k_nuo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ListParagraph"/>
        <w:numPr>
          <w:ilvl w:val="0"/>
          <w:numId w:val="2"/>
        </w:numPr>
      </w:pPr>
      <w:r>
        <w:t xml:space="preserve">GRU - Enseignes et dispositifs de publicité : 62063-REP-0001-01 Liège, arrêté du 15/11/1990, arrêté du 06/09/1991</w:t>
      </w:r>
      <w:r>
        <w:t xml:space="preserve"> </w:t>
      </w:r>
      <w:hyperlink w:history="1" r:id="rIdvtoobimkexttx3kjsma0o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vtoobimkexttx3kjsma0o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vtoobimkexttx3kjsma0o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Heading2"/>
      </w:pPr>
      <w:r>
        <w:t xml:space="preserve">Plan d'assainissement</w:t>
      </w:r>
    </w:p>
    <w:p>
      <w:r>
        <w:t xml:space="preserve">Bien situé dans le périmètre du Plan d'Assainissement par Sous-bassin Hydrographique de Meuse aval qui reprend celui-ci en zone ELEMENT_NOT_FOUND</w:t>
      </w:r>
    </w:p>
    <w:p>
      <w:pPr>
        <w:pStyle w:val="Heading2"/>
      </w:pPr>
      <w:r>
        <w:t xml:space="preserve">Nature du sol</w:t>
      </w:r>
    </w:p>
    <w:p>
      <w:pPr>
        <w:pStyle w:val="ListParagraph"/>
        <w:numPr>
          <w:ilvl w:val="0"/>
          <w:numId w:val="2"/>
        </w:numPr>
      </w:pPr>
      <w:r>
        <w:t xml:space="preserve">Sols artificiels ou non cartographiés</w:t>
      </w:r>
      <w:r>
        <w:t xml:space="preserve"> </w:t>
      </w:r>
    </w:p>
    <w:p>
      <w:pPr>
        <w:pStyle w:val="Heading2"/>
      </w:pPr>
      <w:r>
        <w:t xml:space="preserve">Nappes phréatiques, points de captages</w:t>
      </w:r>
    </w:p>
    <w:p>
      <w:r>
        <w:t xml:space="preserve">Masse d'eau souterraine :</w:t>
      </w:r>
    </w:p>
    <w:p>
      <w:pPr>
        <w:pStyle w:val="ListParagraph"/>
        <w:numPr>
          <w:ilvl w:val="0"/>
          <w:numId w:val="2"/>
        </w:numPr>
      </w:pPr>
      <w:r>
        <w:t xml:space="preserve">BERWM073, Alluvions et graviers de Meuse (Engis - Herstal), Dépôts du Quaternaire, 28-11-2003</w:t>
      </w:r>
      <w:r>
        <w:t xml:space="preserve"> </w:t>
      </w:r>
      <w:hyperlink w:history="1" r:id="rIdz9yc7zneme9ykywopy5wx">
        <w:r>
          <w:drawing>
            <wp:inline distT="0" distB="0" distL="0" distR="0">
              <wp:extent cx="140179" cy="147368"/>
              <wp:effectExtent t="0" r="0" b="0" l="0"/>
              <wp:docPr id="1" name="" descr="" title="">
                <a:hlinkClick xmlns:a="http://schemas.openxmlformats.org/drawingml/2006/main" r:id="rIdz9yc7zneme9ykywopy5wx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>
                        <a:hlinkClick r:id="rIdz9yc7zneme9ykywopy5wx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none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179" cy="147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sectPr>
      <w:headerReference w:type="default" r:id="rId6"/>
      <w:pgSz w:w="11906" w:h="16838" w:orient="portrait"/>
      <w:pgMar w:top="1440" w:right="1440" w:bottom="1440" w:left="1440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tbl>
    <w:tblPr>
      <w:tblW w:type="pct" w:w="100%"/>
      <w:tblBorders>
        <w:top w:val="none"/>
        <w:left w:val="none"/>
        <w:bottom w:val="single" w:color="000000" w:sz="1"/>
        <w:right w:val="none"/>
        <w:insideH w:val="single" w:color="auto" w:sz="4"/>
        <w:insideV w:val="single" w:color="auto" w:sz="4"/>
      </w:tblBorders>
    </w:tblPr>
    <w:tblGrid>
      <w:gridCol w:w="100"/>
    </w:tblGrid>
    <w:tr>
      <w:tc>
        <w:p>
          <w:r>
            <w:rPr>
              <w:color w:val="AEAAAA"/>
            </w:rPr>
            <w:t xml:space="preserve">Professeur Tournesol à la Citadelle de Namur - Jérémy Corman</w:t>
          </w:r>
        </w:p>
        <w:p>
          <w:pPr>
            <w:jc w:val="right"/>
          </w:pPr>
          <w:r>
            <w:drawing>
              <wp:inline distT="0" distB="0" distL="0" distR="0">
                <wp:extent cx="801538" cy="330679"/>
                <wp:effectExtent t="0" r="0" b="0" l="0"/>
                <wp:docPr id="1" name="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0" cstate="none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538" cy="330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numFmt w:val="bullet"/>
      <w:lvlText w:val="-"/>
      <w:lvlJc w:val="start"/>
      <w:pPr>
        <w:ind w:left="720" w:hanging="362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rFonts w:ascii="Source Sans Pro" w:cs="Source Sans Pro" w:eastAsia="Source Sans Pro" w:hAnsi="Source Sans Pro"/>
      </w:rPr>
    </w:rPrDefault>
    <w:pPrDefault>
      <w:pPr>
        <w:spacing w:before="200" w:line="276"/>
        <w:contextualSpacing/>
        <w:jc w:val="left"/>
      </w:pPr>
    </w:pPrDefault>
  </w:docDefaults>
  <w:style w:type="paragraph" w:styleId="Title">
    <w:name w:val="Title"/>
    <w:basedOn w:val="Normal"/>
    <w:next w:val="Normal"/>
    <w:qFormat/>
    <w:pPr>
      <w:spacing w:before="240" w:after="60" w:line="276"/>
    </w:pPr>
    <w:rPr>
      <w:b/>
      <w:bCs/>
      <w:color w:val="1F2937"/>
      <w:sz w:val="72"/>
      <w:szCs w:val="72"/>
      <w:rFonts w:ascii="Source Sans Pro" w:cs="Source Sans Pro" w:eastAsia="Source Sans Pro" w:hAnsi="Source Sans Pro"/>
    </w:rPr>
  </w:style>
  <w:style w:type="paragraph" w:styleId="Heading1">
    <w:name w:val="Heading 1"/>
    <w:basedOn w:val="Normal"/>
    <w:next w:val="Normal"/>
    <w:qFormat/>
    <w:pPr>
      <w:spacing w:before="240" w:after="240" w:line="276"/>
    </w:pPr>
    <w:rPr>
      <w:b/>
      <w:bCs/>
      <w:color w:val="1F2937"/>
      <w:sz w:val="52"/>
      <w:szCs w:val="52"/>
      <w:rFonts w:ascii="Source Sans Pro" w:cs="Source Sans Pro" w:eastAsia="Source Sans Pro" w:hAnsi="Source Sans Pro"/>
    </w:rPr>
  </w:style>
  <w:style w:type="paragraph" w:styleId="Heading2">
    <w:name w:val="Heading 2"/>
    <w:basedOn w:val="Normal"/>
    <w:next w:val="Normal"/>
    <w:qFormat/>
    <w:pPr>
      <w:spacing w:before="240" w:after="0" w:line="276"/>
    </w:pPr>
    <w:rPr>
      <w:b/>
      <w:bCs/>
      <w:color w:val="1F2937"/>
      <w:sz w:val="36"/>
      <w:szCs w:val="36"/>
      <w:rFonts w:ascii="Source Sans Pro" w:cs="Source Sans Pro" w:eastAsia="Source Sans Pro" w:hAnsi="Source Sans Pro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subtitle">
    <w:name w:val="Subtitle"/>
    <w:pPr>
      <w:spacing w:before="0" w:after="0"/>
    </w:pPr>
    <w:rPr>
      <w:b/>
      <w:bCs/>
      <w:color w:val="AEAAAA"/>
      <w:sz w:val="20"/>
      <w:szCs w:val="20"/>
      <w:caps/>
      <w:rFonts w:ascii="Source Sans Pro" w:cs="Source Sans Pro" w:eastAsia="Source Sans Pro" w:hAnsi="Source Sans Pro"/>
      <w:spacing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84jskh8kdqndq89yirdgg" Type="http://schemas.openxmlformats.org/officeDocument/2006/relationships/hyperlink" Target="http://lampspw.wallonie.be/dgo4/site_amenagement/amenagement/sdt" TargetMode="External"/><Relationship Id="rIdbfjzbkkes0wuosbnephym" Type="http://schemas.openxmlformats.org/officeDocument/2006/relationships/hyperlink" Target="https://wallex.wallonie.be/index.php?doc=30280&amp;rev=31858-20809#FR_17909245" TargetMode="External"/><Relationship Id="rIdczbc2skd5g5l9g_olqsl4" Type="http://schemas.openxmlformats.org/officeDocument/2006/relationships/hyperlink" Target="http://spw.wallonie.be/dgo4/index.php?thema=gcu_view&amp;details=62063-RCB-0002-01" TargetMode="External"/><Relationship Id="rIdlwwozeiu45uf_2u2k_nuo" Type="http://schemas.openxmlformats.org/officeDocument/2006/relationships/hyperlink" Target="http://spw.wallonie.be/dgo4/index.php?thema=gru_view&amp;details=62063-RMR-0001-01" TargetMode="External"/><Relationship Id="rIdvtoobimkexttx3kjsma0o" Type="http://schemas.openxmlformats.org/officeDocument/2006/relationships/hyperlink" Target="http://spw.wallonie.be/dgo4/index.php?thema=gru_view&amp;details=62063-REP-0001-01" TargetMode="External"/><Relationship Id="rIdz9yc7zneme9ykywopy5wx" Type="http://schemas.openxmlformats.org/officeDocument/2006/relationships/hyperlink" Target="http://eau.wallonie.be/fme/RWM073.pdf" TargetMode="External"/><Relationship Id="rId7" Type="http://schemas.openxmlformats.org/officeDocument/2006/relationships/image" Target="media/ch01ldx5xdh8ziwtbpu3j.png"/><Relationship Id="rId8" Type="http://schemas.openxmlformats.org/officeDocument/2006/relationships/image" Target="media/hwspv8nbwzh29ttfbluqx.png"/><Relationship Id="rId9" Type="http://schemas.openxmlformats.org/officeDocument/2006/relationships/image" Target="media/aupbh6tbdxw17igwn8ds6.png"/><Relationship Id="rId10" Type="http://schemas.openxmlformats.org/officeDocument/2006/relationships/image" Target="media/uabp7pblpsjw0bbgqncmn.png"/><Relationship Id="rId11" Type="http://schemas.openxmlformats.org/officeDocument/2006/relationships/image" Target="media/4rxovwbwhacgtipqlr8d9.png"/><Relationship Id="rId12" Type="http://schemas.openxmlformats.org/officeDocument/2006/relationships/image" Target="media/y3x6jzhnse6atwayh4dgg.png"/><Relationship Id="rId13" Type="http://schemas.openxmlformats.org/officeDocument/2006/relationships/image" Target="media/bmwqinktd-tysypixikep.png"/><Relationship Id="rId14" Type="http://schemas.openxmlformats.org/officeDocument/2006/relationships/image" Target="media/iq22i8q0ssbvxclf7n6fk.png"/></Relationships>
</file>

<file path=word/_rels/fontTable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inmdzgjgpsjnk8yjkrm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2024-04-30T12:10:00.266Z</dcterms:created>
  <dcterms:modified xsi:type="dcterms:W3CDTF">2024-04-30T12:10:00.266Z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